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126CF4" w:rsidRPr="00EE68D6" w14:paraId="7B16DB73" w14:textId="77777777" w:rsidTr="00EE68D6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1348403A" w14:textId="119EBF8D" w:rsidR="00EE68D6" w:rsidRPr="00EE68D6" w:rsidRDefault="00EE68D6" w:rsidP="00EE68D6">
            <w:pPr>
              <w:jc w:val="both"/>
              <w:rPr>
                <w:rFonts w:ascii="Arial" w:hAnsi="Arial" w:cs="Arial"/>
                <w:b/>
                <w:bCs/>
                <w:sz w:val="24"/>
              </w:rPr>
            </w:pPr>
            <w:r w:rsidRPr="00EE68D6">
              <w:rPr>
                <w:rFonts w:ascii="Arial" w:hAnsi="Arial" w:cs="Arial"/>
                <w:b/>
                <w:bCs/>
                <w:sz w:val="24"/>
              </w:rPr>
              <w:t>P</w:t>
            </w:r>
            <w:r w:rsidRPr="00EE68D6">
              <w:rPr>
                <w:rFonts w:ascii="Arial" w:hAnsi="Arial" w:cs="Arial"/>
                <w:b/>
                <w:bCs/>
                <w:sz w:val="24"/>
              </w:rPr>
              <w:t xml:space="preserve">oskytnutí metodických materiálů k vymáhání a promíjení </w:t>
            </w:r>
            <w:r w:rsidRPr="00EE68D6">
              <w:rPr>
                <w:rFonts w:ascii="Arial" w:hAnsi="Arial" w:cs="Arial"/>
                <w:b/>
                <w:bCs/>
                <w:sz w:val="24"/>
              </w:rPr>
              <w:t>(78/25)</w:t>
            </w:r>
          </w:p>
          <w:p w14:paraId="76A38AF5" w14:textId="054B3CE1" w:rsidR="00126CF4" w:rsidRPr="00EE68D6" w:rsidRDefault="00126CF4" w:rsidP="00EE68D6">
            <w:pPr>
              <w:jc w:val="both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</w:tc>
      </w:tr>
      <w:tr w:rsidR="00126CF4" w:rsidRPr="00EE68D6" w14:paraId="35F4F5E9" w14:textId="77777777" w:rsidTr="00EE68D6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6B3A917A" w14:textId="77777777" w:rsidR="00126CF4" w:rsidRPr="00EE68D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EE68D6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Žádost:</w:t>
            </w:r>
          </w:p>
        </w:tc>
        <w:tc>
          <w:tcPr>
            <w:tcW w:w="6992" w:type="dxa"/>
          </w:tcPr>
          <w:p w14:paraId="40EBED22" w14:textId="77777777" w:rsidR="00126CF4" w:rsidRPr="00EE68D6" w:rsidRDefault="00126CF4">
            <w:pPr>
              <w:rPr>
                <w:rFonts w:ascii="Arial" w:hAnsi="Arial" w:cs="Arial"/>
                <w:sz w:val="24"/>
              </w:rPr>
            </w:pPr>
          </w:p>
        </w:tc>
      </w:tr>
      <w:tr w:rsidR="00126CF4" w14:paraId="14EF0A67" w14:textId="77777777" w:rsidTr="00EE68D6">
        <w:trPr>
          <w:trHeight w:hRule="exact" w:val="100"/>
        </w:trPr>
        <w:tc>
          <w:tcPr>
            <w:tcW w:w="10717" w:type="dxa"/>
            <w:gridSpan w:val="2"/>
          </w:tcPr>
          <w:p w14:paraId="118ACD34" w14:textId="77777777" w:rsidR="00126CF4" w:rsidRPr="00EE68D6" w:rsidRDefault="00126C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6CF4" w14:paraId="004B13F1" w14:textId="77777777" w:rsidTr="00EE68D6">
        <w:trPr>
          <w:trHeight w:hRule="exact" w:val="2347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16EC1F9" w14:textId="77777777" w:rsidR="00126CF4" w:rsidRPr="00EE68D6" w:rsidRDefault="00126CF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1143BE9" w14:textId="77777777" w:rsidR="00126CF4" w:rsidRPr="00EE68D6" w:rsidRDefault="00000000" w:rsidP="00EE68D6">
            <w:pPr>
              <w:spacing w:line="276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E68D6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metodických pokynů týkajících se procesních postupů při vymáhání neuhrazeného příslušenství daně (1), procesních postupů při žádosti o prominutí daně (2) a procesních postupů při zahájení daňové exekuce k vymožení neuhrazeného příslušenství kdy současně byla podána žádost o jeho prominutí, o níž v době zahájení exekuce ještě nebylo rozhodnuto (3). Závěrem žádám o sdělení, které úřední osoby podle organizačních pravidel jsou oprávněny rozhodovat o zahájení vymáhání neuhrazeného příslušenství daně prostřednictvím daňové exekuce (4).  </w:t>
            </w:r>
          </w:p>
        </w:tc>
      </w:tr>
      <w:tr w:rsidR="00126CF4" w:rsidRPr="00EE68D6" w14:paraId="584DAEBF" w14:textId="77777777" w:rsidTr="00EE68D6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6C4B5FAF" w14:textId="77777777" w:rsidR="00126CF4" w:rsidRPr="00EE68D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EE68D6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Odpověď:</w:t>
            </w:r>
          </w:p>
        </w:tc>
        <w:tc>
          <w:tcPr>
            <w:tcW w:w="6992" w:type="dxa"/>
          </w:tcPr>
          <w:p w14:paraId="22A2BD87" w14:textId="77777777" w:rsidR="00126CF4" w:rsidRPr="00EE68D6" w:rsidRDefault="00126C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825226" w14:textId="4BACCA15" w:rsidR="00EE68D6" w:rsidRDefault="00EE68D6" w:rsidP="00EE68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1CE74FF0" w14:textId="77777777" w:rsidR="00EE68D6" w:rsidRDefault="00EE68D6" w:rsidP="00EE68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21E27C2D" w14:textId="77777777" w:rsidR="00EE68D6" w:rsidRDefault="00EE68D6" w:rsidP="00EE68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C78C292" w14:textId="77777777" w:rsidR="00EE68D6" w:rsidRDefault="00EE68D6" w:rsidP="00EE68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A3BB51" w14:textId="77777777" w:rsidR="00EE68D6" w:rsidRDefault="00EE68D6" w:rsidP="00EE68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E68D6">
        <w:rPr>
          <w:rFonts w:ascii="Arial" w:hAnsi="Arial" w:cs="Arial"/>
          <w:sz w:val="22"/>
          <w:szCs w:val="22"/>
        </w:rPr>
        <w:t xml:space="preserve">Ad (1) Problematika procesních postupů finančních úřadů při vymáhání neuhrazeného příslušenství daně prostřednictvím daňové exekuce, vč. případů, kdy je toto příslušenství již samostatně vykonatelné, se řídí zákonem č. 280/2009 Sb., daňový řád (dále jen „DŘ“), zejména § 175 a násl. DŘ. Dle § 153 odst. 1 DŘ je nedoplatkem také neuhrazené příslušenství daně, u kterého již uplynul den splatnosti. Vymáhané neuhrazené příslušenství daně je vždy vykonatelné; je uvedeno na příslušném exekučním příkazu včetně způsobu jeho výpočtu. Protože procesní postup při vymáhání neuhrazeného příslušenství daně prostřednictvím daňové exekuce vyplývá přímo z DŘ, není jej nutné dále upravovat zvláštním metodickým postupem. </w:t>
      </w:r>
    </w:p>
    <w:p w14:paraId="6544F00F" w14:textId="77777777" w:rsidR="00EE68D6" w:rsidRPr="00EE68D6" w:rsidRDefault="00EE68D6" w:rsidP="00EE68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755D6D7" w14:textId="77777777" w:rsidR="00EE68D6" w:rsidRDefault="00EE68D6" w:rsidP="00EE68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E68D6">
        <w:rPr>
          <w:rFonts w:ascii="Arial" w:hAnsi="Arial" w:cs="Arial"/>
          <w:sz w:val="22"/>
          <w:szCs w:val="22"/>
        </w:rPr>
        <w:t>V příloze naleznete obecný postup ke lhůtám a vymáhání nedoplatků – Metodický pokyn, kterým se stanoví lhůty a postupy při vymáhání nedoplatků č. j. 2/19/7700-30132-202757.</w:t>
      </w:r>
    </w:p>
    <w:p w14:paraId="06067A67" w14:textId="77777777" w:rsidR="00EE68D6" w:rsidRPr="00EE68D6" w:rsidRDefault="00EE68D6" w:rsidP="00EE68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31FA35C" w14:textId="28370269" w:rsidR="00EE68D6" w:rsidRPr="00EE68D6" w:rsidRDefault="00EE68D6" w:rsidP="00EE68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E68D6">
        <w:rPr>
          <w:rFonts w:ascii="Arial" w:hAnsi="Arial" w:cs="Arial"/>
          <w:sz w:val="22"/>
          <w:szCs w:val="22"/>
        </w:rPr>
        <w:t xml:space="preserve">Ad (2) Metodické materiály týkající se promíjení jsou z větší části </w:t>
      </w:r>
      <w:proofErr w:type="gramStart"/>
      <w:r w:rsidRPr="00EE68D6">
        <w:rPr>
          <w:rFonts w:ascii="Arial" w:hAnsi="Arial" w:cs="Arial"/>
          <w:sz w:val="22"/>
          <w:szCs w:val="22"/>
        </w:rPr>
        <w:t>zveřejněny</w:t>
      </w:r>
      <w:r>
        <w:rPr>
          <w:rFonts w:ascii="Arial" w:hAnsi="Arial" w:cs="Arial"/>
          <w:sz w:val="22"/>
          <w:szCs w:val="22"/>
        </w:rPr>
        <w:t xml:space="preserve"> </w:t>
      </w:r>
      <w:r w:rsidRPr="00EE68D6">
        <w:rPr>
          <w:rFonts w:ascii="Arial" w:hAnsi="Arial" w:cs="Arial"/>
          <w:sz w:val="22"/>
          <w:szCs w:val="22"/>
        </w:rPr>
        <w:t xml:space="preserve"> na</w:t>
      </w:r>
      <w:proofErr w:type="gramEnd"/>
      <w:r w:rsidRPr="00EE68D6">
        <w:rPr>
          <w:rFonts w:ascii="Arial" w:hAnsi="Arial" w:cs="Arial"/>
          <w:sz w:val="22"/>
          <w:szCs w:val="22"/>
        </w:rPr>
        <w:t xml:space="preserve"> webu povinného subjektu, popř. ve Finančním zpravodaji. Jedná se o následující materiály (vč. přímého odkazu): </w:t>
      </w:r>
    </w:p>
    <w:p w14:paraId="30529953" w14:textId="77777777" w:rsidR="00EE68D6" w:rsidRPr="008F004E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  <w:r w:rsidRPr="008F004E">
        <w:rPr>
          <w:rFonts w:ascii="Arial" w:eastAsiaTheme="minorHAnsi" w:hAnsi="Arial" w:cs="Arial"/>
        </w:rPr>
        <w:t xml:space="preserve">Pokyn GFŘ-D-67 účinný do 14. 9. 2025; </w:t>
      </w:r>
      <w:hyperlink r:id="rId5" w:history="1">
        <w:r w:rsidRPr="008F004E">
          <w:rPr>
            <w:rStyle w:val="Hypertextovodkaz"/>
            <w:rFonts w:ascii="Arial" w:eastAsiaTheme="minorHAnsi" w:hAnsi="Arial" w:cs="Arial"/>
          </w:rPr>
          <w:t>https://financnisprava.gov.cz/assets/cs/prilohy/d-sprava-dani-a-poplatku/Pokyn_GFR_D_67.pdf</w:t>
        </w:r>
      </w:hyperlink>
      <w:r w:rsidRPr="008F004E">
        <w:rPr>
          <w:rFonts w:ascii="Arial" w:eastAsiaTheme="minorHAnsi" w:hAnsi="Arial" w:cs="Arial"/>
        </w:rPr>
        <w:t xml:space="preserve">, </w:t>
      </w:r>
    </w:p>
    <w:p w14:paraId="6BD0DDCA" w14:textId="77777777" w:rsidR="00EE68D6" w:rsidRPr="008F004E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  <w:r w:rsidRPr="008F004E">
        <w:rPr>
          <w:rFonts w:ascii="Arial" w:eastAsiaTheme="minorHAnsi" w:hAnsi="Arial" w:cs="Arial"/>
        </w:rPr>
        <w:t xml:space="preserve">Pokyn GFŘ-D-72, účinný od 15. 9. 2025, </w:t>
      </w:r>
      <w:hyperlink r:id="rId6" w:history="1">
        <w:r w:rsidRPr="008F004E">
          <w:rPr>
            <w:rStyle w:val="Hypertextovodkaz"/>
            <w:rFonts w:ascii="Arial" w:eastAsiaTheme="minorHAnsi" w:hAnsi="Arial" w:cs="Arial"/>
          </w:rPr>
          <w:t>https://financnisprava.gov.cz/cs/dane/legislativa-a-metodika/pokyny-d/cleneni-podle-dani/danovy-proces/2025</w:t>
        </w:r>
      </w:hyperlink>
    </w:p>
    <w:p w14:paraId="46D98A04" w14:textId="77777777" w:rsidR="00EE68D6" w:rsidRPr="008F004E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  <w:r w:rsidRPr="008F004E">
        <w:rPr>
          <w:rFonts w:ascii="Arial" w:eastAsiaTheme="minorHAnsi" w:hAnsi="Arial" w:cs="Arial"/>
        </w:rPr>
        <w:t xml:space="preserve">Přípis č. j. 24103/24/7700-50123-711513, </w:t>
      </w:r>
      <w:hyperlink r:id="rId7" w:history="1">
        <w:r w:rsidRPr="008F004E">
          <w:rPr>
            <w:rStyle w:val="Hypertextovodkaz"/>
            <w:rFonts w:ascii="Arial" w:eastAsiaTheme="minorHAnsi" w:hAnsi="Arial" w:cs="Arial"/>
          </w:rPr>
          <w:t>https://financnisprava.gov.cz/assets/cs/prilohy/d-sprava-dani-a-poplatku/24103_24_prominuti_prislusenstvi.pdf</w:t>
        </w:r>
      </w:hyperlink>
      <w:r w:rsidRPr="008F004E">
        <w:rPr>
          <w:rFonts w:ascii="Arial" w:eastAsiaTheme="minorHAnsi" w:hAnsi="Arial" w:cs="Arial"/>
        </w:rPr>
        <w:t xml:space="preserve"> </w:t>
      </w:r>
    </w:p>
    <w:p w14:paraId="22908A34" w14:textId="77777777" w:rsidR="00EE68D6" w:rsidRPr="008F004E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  <w:r w:rsidRPr="008F004E">
        <w:rPr>
          <w:rFonts w:ascii="Arial" w:eastAsiaTheme="minorHAnsi" w:hAnsi="Arial" w:cs="Arial"/>
        </w:rPr>
        <w:t xml:space="preserve">Metodický pokyn č. j. 20566/22/7700-10123-050167 </w:t>
      </w:r>
      <w:hyperlink r:id="rId8" w:history="1">
        <w:r w:rsidRPr="00B90B03">
          <w:rPr>
            <w:rStyle w:val="Hypertextovodkaz"/>
            <w:rFonts w:ascii="Arial" w:eastAsiaTheme="minorHAnsi" w:hAnsi="Arial" w:cs="Arial"/>
          </w:rPr>
          <w:t>https://financnisprava.gov.cz/assets/cs/prilohy/d-sprava-dani-a-poplatku/20566_22_MP_k_posouzeni_lhuty_prominuti_poseckani.pdf</w:t>
        </w:r>
      </w:hyperlink>
      <w:r w:rsidRPr="008F004E">
        <w:rPr>
          <w:rFonts w:ascii="Arial" w:eastAsiaTheme="minorHAnsi" w:hAnsi="Arial" w:cs="Arial"/>
        </w:rPr>
        <w:t xml:space="preserve">. </w:t>
      </w:r>
    </w:p>
    <w:p w14:paraId="1E12C310" w14:textId="77777777" w:rsidR="00EE68D6" w:rsidRPr="008F004E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  <w:r w:rsidRPr="008F004E">
        <w:rPr>
          <w:rFonts w:ascii="Arial" w:eastAsiaTheme="minorHAnsi" w:hAnsi="Arial" w:cs="Arial"/>
        </w:rPr>
        <w:t xml:space="preserve">Pokyn č. GFŘ-D-44, který je zveřejněný na stránkách MF ve Finančním zpravodaji 4/2020: </w:t>
      </w:r>
      <w:hyperlink r:id="rId9" w:history="1">
        <w:r w:rsidRPr="008F004E">
          <w:rPr>
            <w:rStyle w:val="Hypertextovodkaz"/>
            <w:rFonts w:ascii="Arial" w:eastAsiaTheme="minorHAnsi" w:hAnsi="Arial" w:cs="Arial"/>
          </w:rPr>
          <w:t>https://www.mfcr.cz/cs/dane-a-ucetnictvi/financni-zpravodaj/2020/financni-zpravodaj-cislo-4-2020-37851</w:t>
        </w:r>
      </w:hyperlink>
      <w:r w:rsidRPr="008F004E">
        <w:rPr>
          <w:rFonts w:ascii="Arial" w:eastAsiaTheme="minorHAnsi" w:hAnsi="Arial" w:cs="Arial"/>
        </w:rPr>
        <w:t xml:space="preserve">. </w:t>
      </w:r>
    </w:p>
    <w:p w14:paraId="50D1EBF1" w14:textId="77777777" w:rsidR="00EE68D6" w:rsidRPr="008F004E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  <w:r w:rsidRPr="008F004E">
        <w:rPr>
          <w:rFonts w:ascii="Arial" w:eastAsiaTheme="minorHAnsi" w:hAnsi="Arial" w:cs="Arial"/>
        </w:rPr>
        <w:t xml:space="preserve">Pokyn č. GFŘ-D-69, účinný od 1. 7. 2025; </w:t>
      </w:r>
      <w:hyperlink r:id="rId10" w:history="1">
        <w:r w:rsidRPr="008F004E">
          <w:rPr>
            <w:rStyle w:val="Hypertextovodkaz"/>
            <w:rFonts w:ascii="Arial" w:eastAsiaTheme="minorHAnsi" w:hAnsi="Arial" w:cs="Arial"/>
          </w:rPr>
          <w:t>https://financnisprava.gov.cz/assets/cs/prilohy/d-sprava-dani-a-poplatku/Pokyn_GFR-D-69.pdf</w:t>
        </w:r>
      </w:hyperlink>
    </w:p>
    <w:p w14:paraId="2055600F" w14:textId="77777777" w:rsidR="00EE68D6" w:rsidRPr="008F004E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lang w:val="en-US"/>
        </w:rPr>
      </w:pPr>
      <w:r w:rsidRPr="008F004E">
        <w:rPr>
          <w:rFonts w:ascii="Arial" w:eastAsiaTheme="minorHAnsi" w:hAnsi="Arial" w:cs="Arial"/>
        </w:rPr>
        <w:t>Pokyn č. GFŘ-D-46, účinný od 24. 9. 2020, zrušen Pokynem č. GFŘ-D-69</w:t>
      </w:r>
      <w:r w:rsidRPr="008F004E">
        <w:rPr>
          <w:rFonts w:ascii="Arial" w:eastAsiaTheme="minorHAnsi" w:hAnsi="Arial" w:cs="Arial"/>
          <w:lang w:val="en-US"/>
        </w:rPr>
        <w:t xml:space="preserve">; </w:t>
      </w:r>
      <w:hyperlink r:id="rId11" w:history="1">
        <w:r w:rsidRPr="008F004E">
          <w:rPr>
            <w:rStyle w:val="Hypertextovodkaz"/>
            <w:rFonts w:ascii="Arial" w:eastAsiaTheme="minorHAnsi" w:hAnsi="Arial" w:cs="Arial"/>
            <w:lang w:val="en-US"/>
          </w:rPr>
          <w:t>https://financnisprava.gov.cz/assets/cs/prilohy/d-zakony/Pokyn_c_GFR-D-46.pdf</w:t>
        </w:r>
      </w:hyperlink>
      <w:r w:rsidRPr="008F004E">
        <w:rPr>
          <w:rFonts w:ascii="Arial" w:eastAsiaTheme="minorHAnsi" w:hAnsi="Arial" w:cs="Arial"/>
        </w:rPr>
        <w:t xml:space="preserve"> </w:t>
      </w:r>
    </w:p>
    <w:p w14:paraId="0652DB52" w14:textId="77777777" w:rsidR="00EE68D6" w:rsidRPr="008F004E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  <w:r w:rsidRPr="008F004E">
        <w:rPr>
          <w:rFonts w:ascii="Arial" w:eastAsiaTheme="minorHAnsi" w:hAnsi="Arial" w:cs="Arial"/>
        </w:rPr>
        <w:t>Pokyn č. GFŘ-D-43, účinný od 8. 1. 2020, zrušen Pokynem č. GFŘ-D-46</w:t>
      </w:r>
      <w:r w:rsidRPr="008F004E">
        <w:rPr>
          <w:rFonts w:ascii="Arial" w:eastAsiaTheme="minorHAnsi" w:hAnsi="Arial" w:cs="Arial"/>
          <w:lang w:val="en-US"/>
        </w:rPr>
        <w:t xml:space="preserve">; </w:t>
      </w:r>
      <w:hyperlink r:id="rId12" w:history="1">
        <w:r w:rsidRPr="008F004E">
          <w:rPr>
            <w:rStyle w:val="Hypertextovodkaz"/>
            <w:rFonts w:ascii="Arial" w:eastAsiaTheme="minorHAnsi" w:hAnsi="Arial" w:cs="Arial"/>
            <w:lang w:val="en-US"/>
          </w:rPr>
          <w:t>https://financnisprava.gov.cz/assets/cs/prilohy/d-zakony/Pokyn_c_GFR-D-43.pdf</w:t>
        </w:r>
      </w:hyperlink>
    </w:p>
    <w:p w14:paraId="33B49149" w14:textId="77777777" w:rsidR="00EE68D6" w:rsidRPr="008F004E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  <w:r w:rsidRPr="008F004E">
        <w:rPr>
          <w:rFonts w:ascii="Arial" w:eastAsiaTheme="minorHAnsi" w:hAnsi="Arial" w:cs="Arial"/>
        </w:rPr>
        <w:t xml:space="preserve">Pokyn č. GFŘ-D-17, účinný od 1. 9. 2014, zrušen Pokynem č. GFŘ-D-43; </w:t>
      </w:r>
      <w:hyperlink r:id="rId13" w:history="1">
        <w:r w:rsidRPr="008F004E">
          <w:rPr>
            <w:rStyle w:val="Hypertextovodkaz"/>
            <w:rFonts w:ascii="Arial" w:eastAsiaTheme="minorHAnsi" w:hAnsi="Arial" w:cs="Arial"/>
          </w:rPr>
          <w:t>https://financnisprava.gov.cz/assets/cs/prilohy/d-zakony/Pokyn_GFR-D-17.pdf</w:t>
        </w:r>
      </w:hyperlink>
    </w:p>
    <w:p w14:paraId="313675B6" w14:textId="77777777" w:rsidR="00EE68D6" w:rsidRPr="008F004E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  <w:r w:rsidRPr="008F004E">
        <w:rPr>
          <w:rFonts w:ascii="Arial" w:eastAsiaTheme="minorHAnsi" w:hAnsi="Arial" w:cs="Arial"/>
        </w:rPr>
        <w:t xml:space="preserve">Pokyn č. GFŘ-D-70, účinný od 1. 7. 2025; </w:t>
      </w:r>
      <w:hyperlink r:id="rId14" w:history="1">
        <w:r w:rsidRPr="008F004E">
          <w:rPr>
            <w:rStyle w:val="Hypertextovodkaz"/>
            <w:rFonts w:ascii="Arial" w:eastAsiaTheme="minorHAnsi" w:hAnsi="Arial" w:cs="Arial"/>
          </w:rPr>
          <w:t>https://financnisprava.gov.cz/assets/cs/prilohy/d-sprava-dani-a-poplatku/Pokyn_GFR-D-70.pdf</w:t>
        </w:r>
      </w:hyperlink>
    </w:p>
    <w:p w14:paraId="114E98F1" w14:textId="77777777" w:rsidR="00EE68D6" w:rsidRPr="00013146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  <w:r w:rsidRPr="008F004E">
        <w:rPr>
          <w:rFonts w:ascii="Arial" w:eastAsiaTheme="minorHAnsi" w:hAnsi="Arial" w:cs="Arial"/>
        </w:rPr>
        <w:t>Pokyn č. GFŘ-D-52, účinný od 31. 12. 2021, zrušen Pokynem č. GFŘ-D-70</w:t>
      </w:r>
      <w:r w:rsidRPr="008F004E">
        <w:rPr>
          <w:rFonts w:ascii="Arial" w:eastAsiaTheme="minorHAnsi" w:hAnsi="Arial" w:cs="Arial"/>
          <w:lang w:val="en-US"/>
        </w:rPr>
        <w:t xml:space="preserve">; </w:t>
      </w:r>
      <w:hyperlink r:id="rId15" w:history="1">
        <w:r w:rsidRPr="008F004E">
          <w:rPr>
            <w:rStyle w:val="Hypertextovodkaz"/>
            <w:rFonts w:ascii="Arial" w:eastAsiaTheme="minorHAnsi" w:hAnsi="Arial" w:cs="Arial"/>
          </w:rPr>
          <w:t>https://financnisprava.gov.cz/assets/cs/prilohy/d-seznam-dani/Pokyn_GFR_D_52.pdf</w:t>
        </w:r>
      </w:hyperlink>
    </w:p>
    <w:p w14:paraId="0F4E1684" w14:textId="77777777" w:rsidR="00EE68D6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</w:pPr>
      <w:r w:rsidRPr="00013146">
        <w:rPr>
          <w:rFonts w:ascii="Arial" w:eastAsiaTheme="minorHAnsi" w:hAnsi="Arial" w:cs="Arial"/>
        </w:rPr>
        <w:lastRenderedPageBreak/>
        <w:t xml:space="preserve">Pokyn č. GFŘ-D-56, </w:t>
      </w:r>
      <w:hyperlink r:id="rId16" w:history="1">
        <w:r w:rsidRPr="00013146">
          <w:rPr>
            <w:rStyle w:val="Hypertextovodkaz"/>
            <w:rFonts w:ascii="Arial" w:eastAsiaTheme="minorHAnsi" w:hAnsi="Arial" w:cs="Arial"/>
          </w:rPr>
          <w:t>https://financnisprava.gov.cz/cs/dane/legislativa-a-metodika/pokyny-d/cleneni-podle-dani/dane-z-prijmu/2022</w:t>
        </w:r>
      </w:hyperlink>
    </w:p>
    <w:p w14:paraId="41C28BF0" w14:textId="77777777" w:rsidR="00EE68D6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Sankce kontrolní hlášení - </w:t>
      </w:r>
      <w:hyperlink r:id="rId17" w:history="1">
        <w:r>
          <w:rPr>
            <w:rStyle w:val="Hypertextovodkaz"/>
            <w:rFonts w:ascii="Arial" w:eastAsiaTheme="minorHAnsi" w:hAnsi="Arial" w:cs="Arial"/>
          </w:rPr>
          <w:t>https://financnisprava.gov.cz/cs/dane/dane/dan-z-pridane-hodnoty/kontrolni-hlaseni-dph/sankce</w:t>
        </w:r>
      </w:hyperlink>
      <w:r>
        <w:rPr>
          <w:rFonts w:ascii="Arial" w:eastAsiaTheme="minorHAnsi" w:hAnsi="Arial" w:cs="Arial"/>
        </w:rPr>
        <w:t xml:space="preserve"> </w:t>
      </w:r>
    </w:p>
    <w:p w14:paraId="5F7F42B0" w14:textId="77777777" w:rsidR="00EE68D6" w:rsidRPr="00013146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Metodický pokyn k ukládání pokut za porušení povinností souvisejících </w:t>
      </w:r>
      <w:proofErr w:type="gramStart"/>
      <w:r>
        <w:rPr>
          <w:rFonts w:ascii="Arial" w:eastAsiaTheme="minorHAnsi" w:hAnsi="Arial" w:cs="Arial"/>
        </w:rPr>
        <w:t>s</w:t>
      </w:r>
      <w:proofErr w:type="gramEnd"/>
      <w:r>
        <w:rPr>
          <w:rFonts w:ascii="Arial" w:eastAsiaTheme="minorHAnsi" w:hAnsi="Arial" w:cs="Arial"/>
        </w:rPr>
        <w:t xml:space="preserve"> podávání kontrolních hlášení, č. j. </w:t>
      </w:r>
      <w:r w:rsidRPr="00013146">
        <w:rPr>
          <w:rFonts w:ascii="Arial" w:eastAsiaTheme="minorHAnsi" w:hAnsi="Arial" w:cs="Arial"/>
        </w:rPr>
        <w:t>91320/22/7700-10123-010450</w:t>
      </w:r>
      <w:r>
        <w:rPr>
          <w:rFonts w:ascii="Arial" w:eastAsiaTheme="minorHAnsi" w:hAnsi="Arial" w:cs="Arial"/>
        </w:rPr>
        <w:t xml:space="preserve">, </w:t>
      </w:r>
      <w:hyperlink r:id="rId18" w:history="1">
        <w:r w:rsidRPr="00013146">
          <w:rPr>
            <w:rStyle w:val="Hypertextovodkaz"/>
            <w:rFonts w:ascii="Arial" w:eastAsiaTheme="minorHAnsi" w:hAnsi="Arial" w:cs="Arial"/>
          </w:rPr>
          <w:t>https://financnisprava.gov.cz/assets/cs/prilohy/d-sprava-dani-a-poplatku/91320_22_MP_k_ukladani_pokut_za_KH.pdf</w:t>
        </w:r>
      </w:hyperlink>
    </w:p>
    <w:p w14:paraId="25BCBA81" w14:textId="5F9CB0E2" w:rsidR="00EE68D6" w:rsidRPr="00EE68D6" w:rsidRDefault="00EE68D6" w:rsidP="00EE68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E68D6">
        <w:rPr>
          <w:rFonts w:ascii="Arial" w:hAnsi="Arial" w:cs="Arial"/>
          <w:sz w:val="22"/>
          <w:szCs w:val="22"/>
        </w:rPr>
        <w:t>V příloze Vám poskytujeme odpovědi na dotazy navazující na Pokyn GFŘ-D-21 I. až IX (jenž byl zrušen k</w:t>
      </w:r>
      <w:r>
        <w:rPr>
          <w:rFonts w:ascii="Arial" w:hAnsi="Arial" w:cs="Arial"/>
          <w:sz w:val="22"/>
          <w:szCs w:val="22"/>
        </w:rPr>
        <w:t> </w:t>
      </w:r>
      <w:r w:rsidRPr="00EE68D6">
        <w:rPr>
          <w:rFonts w:ascii="Arial" w:hAnsi="Arial" w:cs="Arial"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> </w:t>
      </w:r>
      <w:r w:rsidRPr="00EE68D6">
        <w:rPr>
          <w:rFonts w:ascii="Arial" w:hAnsi="Arial" w:cs="Arial"/>
          <w:sz w:val="22"/>
          <w:szCs w:val="22"/>
        </w:rPr>
        <w:t>7.</w:t>
      </w:r>
      <w:r>
        <w:rPr>
          <w:rFonts w:ascii="Arial" w:hAnsi="Arial" w:cs="Arial"/>
          <w:sz w:val="22"/>
          <w:szCs w:val="22"/>
        </w:rPr>
        <w:t> 2</w:t>
      </w:r>
      <w:r w:rsidRPr="00EE68D6">
        <w:rPr>
          <w:rFonts w:ascii="Arial" w:hAnsi="Arial" w:cs="Arial"/>
          <w:sz w:val="22"/>
          <w:szCs w:val="22"/>
        </w:rPr>
        <w:t xml:space="preserve">020): </w:t>
      </w:r>
    </w:p>
    <w:p w14:paraId="544BABF2" w14:textId="162DD115" w:rsidR="00EE68D6" w:rsidRPr="00EE68D6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E68D6">
        <w:rPr>
          <w:rFonts w:ascii="Arial" w:hAnsi="Arial" w:cs="Arial"/>
        </w:rPr>
        <w:t>MET_GFR_20519-15 – Metodicke-stanovisko-k-dotazum-navazujicim-na-pokyn-GFR-D-</w:t>
      </w:r>
      <w:proofErr w:type="gramStart"/>
      <w:r w:rsidRPr="00EE68D6">
        <w:rPr>
          <w:rFonts w:ascii="Arial" w:hAnsi="Arial" w:cs="Arial"/>
        </w:rPr>
        <w:t>21-k</w:t>
      </w:r>
      <w:proofErr w:type="gramEnd"/>
      <w:r w:rsidRPr="00EE68D6">
        <w:rPr>
          <w:rFonts w:ascii="Arial" w:hAnsi="Arial" w:cs="Arial"/>
        </w:rPr>
        <w:t xml:space="preserve">-promijeni-prislusenstvi-dane (1) </w:t>
      </w:r>
    </w:p>
    <w:p w14:paraId="76104EE2" w14:textId="17AE3BB3" w:rsidR="00EE68D6" w:rsidRPr="00EE68D6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E68D6">
        <w:rPr>
          <w:rFonts w:ascii="Arial" w:hAnsi="Arial" w:cs="Arial"/>
        </w:rPr>
        <w:t>118130_15 Met stanovisko k dotazům navazujícím na pokyn GFŘ-D-21 (II)</w:t>
      </w:r>
    </w:p>
    <w:p w14:paraId="6AAF2A7C" w14:textId="7B2100CB" w:rsidR="00EE68D6" w:rsidRPr="00EE68D6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E68D6">
        <w:rPr>
          <w:rFonts w:ascii="Arial" w:hAnsi="Arial" w:cs="Arial"/>
        </w:rPr>
        <w:t>123479_16 Metodický pokyn – dotazy navazující na Pokyn GFŘ-D-21 (III)</w:t>
      </w:r>
    </w:p>
    <w:p w14:paraId="5CFDD6F3" w14:textId="524BE760" w:rsidR="00EE68D6" w:rsidRPr="00EE68D6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E68D6">
        <w:rPr>
          <w:rFonts w:ascii="Arial" w:hAnsi="Arial" w:cs="Arial"/>
        </w:rPr>
        <w:t>67034_17 MP – Dotazy navazující na Pokyn GFŘ-D-21 (IV.)</w:t>
      </w:r>
    </w:p>
    <w:p w14:paraId="112C0471" w14:textId="50B972E5" w:rsidR="00EE68D6" w:rsidRPr="00EE68D6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E68D6">
        <w:rPr>
          <w:rFonts w:ascii="Arial" w:hAnsi="Arial" w:cs="Arial"/>
        </w:rPr>
        <w:t>63275_18 MP – Dotazy navazující na Pokyn GFŘ-D-21 (V.)</w:t>
      </w:r>
    </w:p>
    <w:p w14:paraId="60B3268F" w14:textId="352ADD7B" w:rsidR="00EE68D6" w:rsidRPr="00EE68D6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E68D6">
        <w:rPr>
          <w:rFonts w:ascii="Arial" w:hAnsi="Arial" w:cs="Arial"/>
        </w:rPr>
        <w:t>6098_19 MP – Odpovědi na dotazy navazující na Pokyn GFŘ-D-21 (VI.)</w:t>
      </w:r>
    </w:p>
    <w:p w14:paraId="53DB2F0A" w14:textId="01C7672E" w:rsidR="00EE68D6" w:rsidRPr="00EE68D6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E68D6">
        <w:rPr>
          <w:rFonts w:ascii="Arial" w:hAnsi="Arial" w:cs="Arial"/>
        </w:rPr>
        <w:t>č.j. 78318-19-10126 - Metodický pokyn – dotaz navazující na Pokyn GFŘ-D-21 (VII.)</w:t>
      </w:r>
    </w:p>
    <w:p w14:paraId="1AA86C79" w14:textId="32A0C5F8" w:rsidR="00EE68D6" w:rsidRPr="00EE68D6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E68D6">
        <w:rPr>
          <w:rFonts w:ascii="Arial" w:hAnsi="Arial" w:cs="Arial"/>
        </w:rPr>
        <w:t>31295_21 MP – navazující dotazy k promíjení (VIII.)</w:t>
      </w:r>
    </w:p>
    <w:p w14:paraId="4A562FA1" w14:textId="17065A4B" w:rsidR="00EE68D6" w:rsidRPr="00EE68D6" w:rsidRDefault="00EE68D6" w:rsidP="00EE68D6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E68D6">
        <w:rPr>
          <w:rFonts w:ascii="Arial" w:hAnsi="Arial" w:cs="Arial"/>
        </w:rPr>
        <w:t>22058_23 Metodický pokyn – odpovědi na dotazy k promíjení (IX.)</w:t>
      </w:r>
    </w:p>
    <w:p w14:paraId="676E0CE0" w14:textId="110B950E" w:rsidR="00EE68D6" w:rsidRDefault="00EE68D6" w:rsidP="00EE68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E68D6">
        <w:rPr>
          <w:rFonts w:ascii="Arial" w:hAnsi="Arial" w:cs="Arial"/>
          <w:sz w:val="22"/>
          <w:szCs w:val="22"/>
        </w:rPr>
        <w:t>Ad (3) Problematika procesních postupů finančních úřadů v situaci, kdy je zahájena daňová exekuce k</w:t>
      </w:r>
      <w:r>
        <w:rPr>
          <w:rFonts w:ascii="Arial" w:hAnsi="Arial" w:cs="Arial"/>
          <w:sz w:val="22"/>
          <w:szCs w:val="22"/>
        </w:rPr>
        <w:t> </w:t>
      </w:r>
      <w:r w:rsidRPr="00EE68D6">
        <w:rPr>
          <w:rFonts w:ascii="Arial" w:hAnsi="Arial" w:cs="Arial"/>
          <w:sz w:val="22"/>
          <w:szCs w:val="22"/>
        </w:rPr>
        <w:t>vymožení neuhrazeného příslušenství, a současně byla podána žádost o jeho prominutí, o níž v době zahájení exekuce ještě nebylo finančním úřadem rozhodnuto, je upravena v § 259 a násl. DŘ. V případě podání žádosti o prominutí příslušenství daně a zahájení příslušného řízení se, v případě již zahájené daňové exekuce, uplatní § 181 DŘ, kdy správce daně může daňovou exekuci na návrh dlužníka nebo z moci úřední částečně nebo zcela odložit po dobu šetření skutečností rozhodných pro zastavení daňové exekuce, tj.</w:t>
      </w:r>
      <w:r>
        <w:rPr>
          <w:rFonts w:ascii="Arial" w:hAnsi="Arial" w:cs="Arial"/>
          <w:sz w:val="22"/>
          <w:szCs w:val="22"/>
        </w:rPr>
        <w:t> </w:t>
      </w:r>
      <w:r w:rsidRPr="00EE68D6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 </w:t>
      </w:r>
      <w:r w:rsidRPr="00EE68D6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 </w:t>
      </w:r>
      <w:r w:rsidRPr="00EE68D6">
        <w:rPr>
          <w:rFonts w:ascii="Arial" w:hAnsi="Arial" w:cs="Arial"/>
          <w:sz w:val="22"/>
          <w:szCs w:val="22"/>
        </w:rPr>
        <w:t>případě řízení o prominutí příslušenství daně. Nestanoví-li správce daně v rozhodnutí o odložení daňové exekuce jinak, právní účinky již provedených exekučních úkonů zůstávají zachovány. Protože procesní postup finančních úřadů v situaci, kdy je zahájena daňová exekuce k vymožení neuhrazeného příslušenství, a</w:t>
      </w:r>
      <w:r>
        <w:rPr>
          <w:rFonts w:ascii="Arial" w:hAnsi="Arial" w:cs="Arial"/>
          <w:sz w:val="22"/>
          <w:szCs w:val="22"/>
        </w:rPr>
        <w:t> </w:t>
      </w:r>
      <w:r w:rsidRPr="00EE68D6">
        <w:rPr>
          <w:rFonts w:ascii="Arial" w:hAnsi="Arial" w:cs="Arial"/>
          <w:sz w:val="22"/>
          <w:szCs w:val="22"/>
        </w:rPr>
        <w:t xml:space="preserve">současně byla podána žádost o jeho prominutí, o níž v době zahájení exekuce ještě nebylo finančním úřadem rozhodnuto, vyplývá přímo z DŘ, není jej nutné dále upravovat zvláštním metodickým postupem. </w:t>
      </w:r>
    </w:p>
    <w:p w14:paraId="3A3A1220" w14:textId="77777777" w:rsidR="00EE68D6" w:rsidRPr="00EE68D6" w:rsidRDefault="00EE68D6" w:rsidP="00EE68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3F0E1F8" w14:textId="328BDC8E" w:rsidR="00EE68D6" w:rsidRDefault="00EE68D6" w:rsidP="00EE68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E68D6">
        <w:rPr>
          <w:rFonts w:ascii="Arial" w:hAnsi="Arial" w:cs="Arial"/>
          <w:sz w:val="22"/>
          <w:szCs w:val="22"/>
        </w:rPr>
        <w:t xml:space="preserve">Obecný postup k promíjení příslušenství daně je metodicky upraven Pokynem č. GFŘ–D–72 ze dne 4. 9. 2025, který je dostupný zde: </w:t>
      </w:r>
      <w:hyperlink r:id="rId19" w:history="1">
        <w:r w:rsidRPr="00AE1AEE">
          <w:rPr>
            <w:rStyle w:val="Hypertextovodkaz"/>
            <w:rFonts w:ascii="Arial" w:hAnsi="Arial" w:cs="Arial"/>
            <w:sz w:val="22"/>
            <w:szCs w:val="22"/>
          </w:rPr>
          <w:t>https://financnisprava.gov.cz/cs/dane/legislativa-a-metodika/pokyny-d/cleneni-podle-dani/danovy-proces/2025</w:t>
        </w:r>
      </w:hyperlink>
      <w:r w:rsidRPr="00EE68D6">
        <w:rPr>
          <w:rFonts w:ascii="Arial" w:hAnsi="Arial" w:cs="Arial"/>
          <w:sz w:val="22"/>
          <w:szCs w:val="22"/>
        </w:rPr>
        <w:t>.</w:t>
      </w:r>
    </w:p>
    <w:p w14:paraId="4EAB349E" w14:textId="77777777" w:rsidR="00EE68D6" w:rsidRPr="00EE68D6" w:rsidRDefault="00EE68D6" w:rsidP="00EE68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AC677B3" w14:textId="4B198C7C" w:rsidR="00EE68D6" w:rsidRPr="00EE68D6" w:rsidRDefault="00EE68D6" w:rsidP="00EE68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E68D6">
        <w:rPr>
          <w:rFonts w:ascii="Arial" w:hAnsi="Arial" w:cs="Arial"/>
          <w:sz w:val="22"/>
          <w:szCs w:val="22"/>
        </w:rPr>
        <w:t>Ad (4) Exekučním titulem je, dle § 176 odst. 1 písm. a) DŘ, vykonatelný výkaz nedoplatků, přičemž v případě, že je již uhrazená daňová povinnost, je samostatným exekučním titulem výkaz nedoplatků, obsahující pouze příslušenství. Na základě výkazu nedoplatků, předaného k vymáhání, je exekuční řízení zahájeno vydáním exekučního příkazu (vizte § 178 odst. 1 DŘ). Exekuční příkaz je vydán okamžikem jeho podpisu představeným vymáhacího útvaru věcně a místně příslušného správce daně.</w:t>
      </w:r>
    </w:p>
    <w:sectPr w:rsidR="00EE68D6" w:rsidRPr="00EE68D6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12535"/>
    <w:multiLevelType w:val="hybridMultilevel"/>
    <w:tmpl w:val="294239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C0097"/>
    <w:multiLevelType w:val="hybridMultilevel"/>
    <w:tmpl w:val="2228DB66"/>
    <w:lvl w:ilvl="0" w:tplc="62F264FA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662A1"/>
    <w:multiLevelType w:val="hybridMultilevel"/>
    <w:tmpl w:val="30DA9C96"/>
    <w:lvl w:ilvl="0" w:tplc="62F264FA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97D42"/>
    <w:multiLevelType w:val="hybridMultilevel"/>
    <w:tmpl w:val="2086F9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37CC7"/>
    <w:multiLevelType w:val="hybridMultilevel"/>
    <w:tmpl w:val="74A426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370469">
    <w:abstractNumId w:val="4"/>
  </w:num>
  <w:num w:numId="2" w16cid:durableId="132450808">
    <w:abstractNumId w:val="3"/>
  </w:num>
  <w:num w:numId="3" w16cid:durableId="1270895321">
    <w:abstractNumId w:val="0"/>
  </w:num>
  <w:num w:numId="4" w16cid:durableId="881020427">
    <w:abstractNumId w:val="1"/>
  </w:num>
  <w:num w:numId="5" w16cid:durableId="21468967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6CF4"/>
    <w:rsid w:val="00024838"/>
    <w:rsid w:val="00126CF4"/>
    <w:rsid w:val="005F6812"/>
    <w:rsid w:val="00EE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CEEDA"/>
  <w15:docId w15:val="{D61590EF-0C94-4120-BE95-AD2F339D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E68D6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EE68D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EE68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cnisprava.gov.cz/assets/cs/prilohy/d-sprava-dani-a-poplatku/20566_22_MP_k_posouzeni_lhuty_prominuti_poseckani.pdf" TargetMode="External"/><Relationship Id="rId13" Type="http://schemas.openxmlformats.org/officeDocument/2006/relationships/hyperlink" Target="https://financnisprava.gov.cz/assets/cs/prilohy/d-zakony/Pokyn_GFR-D-17.pdf" TargetMode="External"/><Relationship Id="rId18" Type="http://schemas.openxmlformats.org/officeDocument/2006/relationships/hyperlink" Target="https://financnisprava.gov.cz/assets/cs/prilohy/d-sprava-dani-a-poplatku/91320_22_MP_k_ukladani_pokut_za_KH.pd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financnisprava.gov.cz/assets/cs/prilohy/d-sprava-dani-a-poplatku/24103_24_prominuti_prislusenstvi.pdf" TargetMode="External"/><Relationship Id="rId12" Type="http://schemas.openxmlformats.org/officeDocument/2006/relationships/hyperlink" Target="https://financnisprava.gov.cz/assets/cs/prilohy/d-zakony/Pokyn_c_GFR-D-43.pdf" TargetMode="External"/><Relationship Id="rId17" Type="http://schemas.openxmlformats.org/officeDocument/2006/relationships/hyperlink" Target="https://financnisprava.gov.cz/cs/dane/dane/dan-z-pridane-hodnoty/kontrolni-hlaseni-dph/sankce" TargetMode="External"/><Relationship Id="rId2" Type="http://schemas.openxmlformats.org/officeDocument/2006/relationships/styles" Target="styles.xml"/><Relationship Id="rId16" Type="http://schemas.openxmlformats.org/officeDocument/2006/relationships/hyperlink" Target="https://financnisprava.gov.cz/cs/dane/legislativa-a-metodika/pokyny-d/cleneni-podle-dani/dane-z-prijmu/2022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inancnisprava.gov.cz/cs/dane/legislativa-a-metodika/pokyny-d/cleneni-podle-dani/danovy-proces/2025" TargetMode="External"/><Relationship Id="rId11" Type="http://schemas.openxmlformats.org/officeDocument/2006/relationships/hyperlink" Target="https://financnisprava.gov.cz/assets/cs/prilohy/d-zakony/Pokyn_c_GFR-D-46.pdf" TargetMode="External"/><Relationship Id="rId5" Type="http://schemas.openxmlformats.org/officeDocument/2006/relationships/hyperlink" Target="https://financnisprava.gov.cz/assets/cs/prilohy/d-sprava-dani-a-poplatku/Pokyn_GFR_D_67.pdf" TargetMode="External"/><Relationship Id="rId15" Type="http://schemas.openxmlformats.org/officeDocument/2006/relationships/hyperlink" Target="https://financnisprava.gov.cz/assets/cs/prilohy/d-seznam-dani/Pokyn_GFR_D_52.pdf" TargetMode="External"/><Relationship Id="rId10" Type="http://schemas.openxmlformats.org/officeDocument/2006/relationships/hyperlink" Target="https://financnisprava.gov.cz/assets/cs/prilohy/d-sprava-dani-a-poplatku/Pokyn_GFR-D-69.pdf" TargetMode="External"/><Relationship Id="rId19" Type="http://schemas.openxmlformats.org/officeDocument/2006/relationships/hyperlink" Target="https://financnisprava.gov.cz/cs/dane/legislativa-a-metodika/pokyny-d/cleneni-podle-dani/danovy-proces/20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fcr.cz/cs/dane-a-ucetnictvi/financni-zpravodaj/2020/financni-zpravodaj-cislo-4-2020-37851" TargetMode="External"/><Relationship Id="rId14" Type="http://schemas.openxmlformats.org/officeDocument/2006/relationships/hyperlink" Target="https://financnisprava.gov.cz/assets/cs/prilohy/d-sprava-dani-a-poplatku/Pokyn_GFR-D-70.pdf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1184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Reports.JS 2024.2.6 from 2024.05.20</Company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2025-10-03T07:38:00Z</dcterms:created>
  <dcterms:modified xsi:type="dcterms:W3CDTF">2025-10-03T07:38:00Z</dcterms:modified>
  <cp:contentStatus>Netscape * Mozilla/5.0 (Windows NT 10.0; Win64; x64) AppleWebKit/537.36 (KHTML, like Gecko) Chrome/140.0.0.0 Safari/537.36 Edg/140.0.0.0</cp:contentStatus>
</cp:coreProperties>
</file>